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0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1"/>
        <w:gridCol w:w="5004"/>
      </w:tblGrid>
      <w:tr>
        <w:tblPrEx>
          <w:shd w:val="clear" w:color="auto" w:fill="ced7e7"/>
        </w:tblPrEx>
        <w:trPr>
          <w:trHeight w:val="13669" w:hRule="atLeast"/>
        </w:trPr>
        <w:tc>
          <w:tcPr>
            <w:tcW w:type="dxa" w:w="5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00" w:line="228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ОТЧЕТ ОБ ИТОГАХ ГОЛОСОВАНИЯ</w:t>
            </w:r>
          </w:p>
          <w:p>
            <w:pPr>
              <w:pStyle w:val="Normal.0"/>
              <w:bidi w:val="0"/>
              <w:spacing w:line="228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 уточнением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Полное фирменное наименование общества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Публичное акционерное общество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РОСИНТЕР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РЕСТОРАНТС ХОЛДИНГ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1"/>
                <w:szCs w:val="21"/>
                <w:shd w:val="nil" w:color="auto" w:fill="auto"/>
                <w:rtl w:val="0"/>
                <w:lang w:val="ru-RU"/>
              </w:rPr>
              <w:t>далее –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 «Общество»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Место нахождения Общества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Российская Федерация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Адрес Общества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Российская Федерация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111024,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Душинская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.7,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.1.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Вид общего собрания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внеочередное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Форма проведения общего собрания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заочное голосование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Дата проведения общего собрания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дата окончания приема бюллетеней для голосования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31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2024.</w:t>
            </w:r>
          </w:p>
          <w:p>
            <w:pPr>
              <w:pStyle w:val="Body Text Indent 3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Дата определения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фиксации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лиц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имевших право на участие в общем собрании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09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января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2024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nil" w:color="auto" w:fill="auto"/>
                <w:lang w:val="ru-RU"/>
              </w:rPr>
              <w:br w:type="textWrapping"/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Счетная комиссия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Функции счетной комиссии выполнял регистратор Общества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Полное фирменное наименование регистратора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Акционерное общество «РДЦ ПАРИТЕТ»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Место нахождения регистратора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Российская Федерация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Адрес регистратора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115114,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вн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тер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муниципальный округ Даниловский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пер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 2-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й Кожевнический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12,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2,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этаж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3,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помещ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XVI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комната №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4. 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Уполномоченное лицо регистратора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Завьялова Галина Этгордовна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Председательствующий на общем собрании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Ростислав Ордовский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Танаевский Бланко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Секретарь общего собрания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Надденная Мария Анатольевна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120" w:after="120" w:line="228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Повестка дня общего собрания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Default"/>
              <w:bidi w:val="0"/>
              <w:spacing w:before="0" w:line="228" w:lineRule="auto"/>
              <w:ind w:left="0" w:right="0" w:firstLine="0"/>
              <w:jc w:val="both"/>
              <w:rPr>
                <w:spacing w:val="-3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ru-RU"/>
              </w:rPr>
              <w:t>Одобрение сделки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ru-RU"/>
              </w:rPr>
              <w:t>в совершении которой имеется заинтересованность</w:t>
            </w:r>
            <w:r>
              <w:rPr>
                <w:spacing w:val="-3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spacing w:line="229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line="229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По первому вопросу повестки дня</w:t>
            </w:r>
          </w:p>
          <w:p>
            <w:pPr>
              <w:pStyle w:val="Normal.0"/>
              <w:bidi w:val="0"/>
              <w:spacing w:line="229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«Одобрение сделки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 совершении которой имеется заинтересованность»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Число голосов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которыми обладали лица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включенные в список лиц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имевших право на участие в общем собрании по данному вопросу повестки дня общего собрания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: 16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305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334.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Число голосов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приходившихся на голосующие акции Общества по данному вопросу повестки дня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общего собрания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определенное с учетом положений</w:t>
            </w:r>
          </w:p>
        </w:tc>
        <w:tc>
          <w:tcPr>
            <w:tcW w:type="dxa" w:w="50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00" w:line="228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REPORT ON THE VOTING RESULTS </w:t>
            </w:r>
          </w:p>
          <w:p>
            <w:pPr>
              <w:pStyle w:val="Normal.0"/>
              <w:bidi w:val="0"/>
              <w:spacing w:line="228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(with clarification)</w:t>
            </w:r>
          </w:p>
          <w:p>
            <w:pPr>
              <w:pStyle w:val="Normal.0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Основной текст A"/>
              <w:suppressAutoHyphens w:val="1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Full name of the company: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Public Joint Stock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Company ROSINTER RESTAURANTS HOLDING</w:t>
            </w:r>
            <w:r>
              <w:rPr>
                <w:sz w:val="21"/>
                <w:szCs w:val="2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(hereinafter referred to as the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Company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”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).</w:t>
            </w:r>
          </w:p>
          <w:p>
            <w:pPr>
              <w:pStyle w:val="Основной текст A"/>
              <w:suppressAutoHyphens w:val="1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Location of the Company: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Moscow, Russian Federation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Основной текст A"/>
              <w:suppressAutoHyphens w:val="1"/>
              <w:bidi w:val="0"/>
              <w:spacing w:before="120" w:line="228" w:lineRule="auto"/>
              <w:ind w:left="0" w:right="0" w:firstLine="0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Address of the Company: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7, Dushinskaya St., bldg.1, Moscow, 111024, Russian Federation.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Type of the general meeting: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extraordinary.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Form of holding of the general meeting: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absentee voting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Text Indent 3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Date of holding of the general meeting (the closing date for receiving voting ballots): </w:t>
            </w:r>
            <w:r>
              <w:rPr>
                <w:b w:val="1"/>
                <w:bCs w:val="1"/>
                <w:spacing w:val="-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January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31, 2024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Body Text Indent 3"/>
              <w:spacing w:line="228" w:lineRule="auto"/>
              <w:ind w:firstLine="0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Text Indent 3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Date of determination (recording) of the persons entitled to participate in the general meeting: </w:t>
            </w:r>
            <w:r>
              <w:rPr>
                <w:b w:val="1"/>
                <w:bCs w:val="1"/>
                <w:spacing w:val="-1"/>
                <w:sz w:val="21"/>
                <w:szCs w:val="21"/>
                <w:shd w:val="nil" w:color="auto" w:fill="auto"/>
                <w:rtl w:val="0"/>
                <w:lang w:val="en-US"/>
              </w:rPr>
              <w:t>January 9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, 2024.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Counting commission: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The functions of the counting commission were performed by the Company's registrar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Full name of the registrar: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Joint Stock Company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RD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С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PARITET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”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Location of the registrar: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Moscow, Russian Federation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Address of the registrar: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12, 2nd Kozhevnichesky  per., bld.2, 4th ent., 3rd floor, 115114, Moscow, Russian Federation.</w:t>
            </w:r>
          </w:p>
          <w:p>
            <w:pPr>
              <w:pStyle w:val="Normal.0"/>
              <w:spacing w:line="228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The registrar's authorized person: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Galina Zavialova.</w:t>
            </w:r>
          </w:p>
          <w:p>
            <w:pPr>
              <w:pStyle w:val="Основной текст A"/>
              <w:suppressAutoHyphens w:val="1"/>
              <w:spacing w:line="228" w:lineRule="auto"/>
              <w:rPr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Основной текст A"/>
              <w:suppressAutoHyphens w:val="1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Chairman of the general meeting: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Rostislav  Ordovsky-Tanaevsky Blanco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Основной текст A"/>
              <w:suppressAutoHyphens w:val="1"/>
              <w:bidi w:val="0"/>
              <w:spacing w:before="120" w:line="228" w:lineRule="auto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Secretary of the general meeting: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Maria Anatolievna Naddennaya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spacing w:before="120" w:after="120" w:line="228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Agenda of the general meeting:</w:t>
            </w:r>
          </w:p>
          <w:p>
            <w:pPr>
              <w:pStyle w:val="List Paragraph"/>
              <w:bidi w:val="0"/>
              <w:spacing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1. Approval of a related-party transaction.</w:t>
            </w:r>
          </w:p>
          <w:p>
            <w:pPr>
              <w:pStyle w:val="List Paragraph"/>
              <w:spacing w:line="228" w:lineRule="auto"/>
              <w:ind w:lef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9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line="229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On the first agenda item</w:t>
            </w:r>
          </w:p>
          <w:p>
            <w:pPr>
              <w:pStyle w:val="Normal.0"/>
              <w:bidi w:val="0"/>
              <w:spacing w:line="229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Approval of a related-party transaction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”</w:t>
            </w:r>
          </w:p>
          <w:p>
            <w:pPr>
              <w:pStyle w:val="Normal.0"/>
              <w:spacing w:line="229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Number of votes held by the persons included in the list of persons entitled to participate in the general meeting on this agenda item of the general meeting was 16,305,334.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>Number of votes represented by the voting shares of the Company on this agenda item of the general meeting, determined taking into account the provisions of Clause</w:t>
            </w:r>
          </w:p>
        </w:tc>
      </w:tr>
      <w:tr>
        <w:tblPrEx>
          <w:shd w:val="clear" w:color="auto" w:fill="ced7e7"/>
        </w:tblPrEx>
        <w:trPr>
          <w:trHeight w:val="2392" w:hRule="atLeast"/>
        </w:trPr>
        <w:tc>
          <w:tcPr>
            <w:tcW w:type="dxa" w:w="5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28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пункта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4.24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Положения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*: 16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305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334.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Число голосов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которыми обладали лица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не заинтересованные в совершении Обществом сделки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принявшие участие в общем собрании по данному вопросу повестки дня общего собрания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>**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: 11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385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587,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что составляет 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69,827377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от общего числа голосов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Кворум по данному вопросу имелся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Число голосов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отданных за каждый из вариантов голосования по данному вопросу повестки дня общего собрания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0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28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4.24 of the Regulation * was 16,305,334.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Number of votes held by persons 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not interested in the Company</w:t>
            </w:r>
            <w:r>
              <w:rPr>
                <w:rFonts w:ascii="Times New Roman" w:hAnsi="Times New Roman" w:hint="default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s transaction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who participated in the general meeting on this agenda item of the general meeting** was 11,385,587, which constituted 69.827377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en-US"/>
              </w:rPr>
              <w:t>% of the total number of votes.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A quorum was present on this item.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Number of votes given for each of the voting options on this agenda item of the general meeting was</w:t>
            </w:r>
          </w:p>
        </w:tc>
      </w:tr>
    </w:tbl>
    <w:p>
      <w:pPr>
        <w:pStyle w:val="Normal.0"/>
        <w:widowControl w:val="0"/>
        <w:ind w:left="324" w:hanging="324"/>
      </w:pPr>
    </w:p>
    <w:p>
      <w:pPr>
        <w:pStyle w:val="Normal.0"/>
        <w:widowControl w:val="0"/>
        <w:ind w:left="216" w:hanging="216"/>
      </w:pPr>
    </w:p>
    <w:p>
      <w:pPr>
        <w:pStyle w:val="Normal.0"/>
        <w:widowControl w:val="0"/>
        <w:ind w:left="108" w:hanging="108"/>
      </w:pPr>
    </w:p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Times New Roman" w:cs="Times New Roman" w:hAnsi="Times New Roman" w:eastAsia="Times New Roman"/>
          <w:i w:val="1"/>
          <w:iCs w:val="1"/>
          <w:spacing w:val="0"/>
          <w:sz w:val="2"/>
          <w:szCs w:val="2"/>
          <w:lang w:val="en-US"/>
        </w:rPr>
      </w:pPr>
    </w:p>
    <w:tbl>
      <w:tblPr>
        <w:tblW w:w="10341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2"/>
        <w:gridCol w:w="1642"/>
        <w:gridCol w:w="1702"/>
        <w:gridCol w:w="182"/>
        <w:gridCol w:w="1908"/>
        <w:gridCol w:w="1568"/>
        <w:gridCol w:w="1497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18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«ЗА»</w:t>
            </w:r>
          </w:p>
        </w:tc>
        <w:tc>
          <w:tcPr>
            <w:tcW w:type="dxa" w:w="164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«ПРОТИВ»</w:t>
            </w:r>
          </w:p>
        </w:tc>
        <w:tc>
          <w:tcPr>
            <w:tcW w:type="dxa" w:w="170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</w:tabs>
              <w:suppressAutoHyphens w:val="1"/>
              <w:jc w:val="center"/>
              <w:outlineLvl w:val="0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«ВОЗДЕРЖАЛСЯ»</w:t>
            </w:r>
          </w:p>
        </w:tc>
        <w:tc>
          <w:tcPr>
            <w:tcW w:type="dxa" w:w="182"/>
            <w:tcBorders>
              <w:top w:val="single" w:color="ffffff" w:sz="8" w:space="0" w:shadow="0" w:frame="0"/>
              <w:left w:val="single" w:color="000000" w:sz="8" w:space="0" w:shadow="0" w:frame="0"/>
              <w:bottom w:val="single" w:color="ffffff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FOR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15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AGAINST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14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ABSTAINED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”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ind w:left="324" w:hanging="324"/>
        <w:rPr>
          <w:rFonts w:ascii="Times New Roman" w:cs="Times New Roman" w:hAnsi="Times New Roman" w:eastAsia="Times New Roman"/>
          <w:i w:val="1"/>
          <w:iCs w:val="1"/>
          <w:spacing w:val="0"/>
          <w:sz w:val="2"/>
          <w:szCs w:val="2"/>
          <w:lang w:val="en-US"/>
        </w:rPr>
      </w:pPr>
    </w:p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ind w:left="216" w:hanging="216"/>
        <w:rPr>
          <w:rFonts w:ascii="Times New Roman" w:cs="Times New Roman" w:hAnsi="Times New Roman" w:eastAsia="Times New Roman"/>
          <w:i w:val="1"/>
          <w:iCs w:val="1"/>
          <w:spacing w:val="0"/>
          <w:sz w:val="2"/>
          <w:szCs w:val="2"/>
          <w:lang w:val="en-US"/>
        </w:rPr>
      </w:pPr>
    </w:p>
    <w:tbl>
      <w:tblPr>
        <w:tblW w:w="1034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8"/>
        <w:gridCol w:w="928"/>
        <w:gridCol w:w="763"/>
        <w:gridCol w:w="888"/>
        <w:gridCol w:w="970"/>
        <w:gridCol w:w="730"/>
        <w:gridCol w:w="182"/>
        <w:gridCol w:w="982"/>
        <w:gridCol w:w="924"/>
        <w:gridCol w:w="736"/>
        <w:gridCol w:w="830"/>
        <w:gridCol w:w="809"/>
        <w:gridCol w:w="690"/>
      </w:tblGrid>
      <w:tr>
        <w:tblPrEx>
          <w:shd w:val="clear" w:color="auto" w:fill="ced7e7"/>
        </w:tblPrEx>
        <w:trPr>
          <w:trHeight w:val="413" w:hRule="atLeast"/>
        </w:trPr>
        <w:tc>
          <w:tcPr>
            <w:tcW w:type="dxa" w:w="9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Число голосов</w:t>
            </w:r>
          </w:p>
        </w:tc>
        <w:tc>
          <w:tcPr>
            <w:tcW w:type="dxa" w:w="9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  <w:tc>
          <w:tcPr>
            <w:tcW w:type="dxa" w:w="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Число голосов</w:t>
            </w:r>
          </w:p>
        </w:tc>
        <w:tc>
          <w:tcPr>
            <w:tcW w:type="dxa" w:w="8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  <w:tc>
          <w:tcPr>
            <w:tcW w:type="dxa" w:w="9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en-US"/>
              </w:rPr>
              <w:t>Число голосов</w:t>
            </w:r>
          </w:p>
        </w:tc>
        <w:tc>
          <w:tcPr>
            <w:tcW w:type="dxa" w:w="7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  <w:tc>
          <w:tcPr>
            <w:tcW w:type="dxa" w:w="182"/>
            <w:tcBorders>
              <w:top w:val="single" w:color="ffffff" w:sz="8" w:space="0" w:shadow="0" w:frame="0"/>
              <w:left w:val="single" w:color="000000" w:sz="8" w:space="0" w:shadow="0" w:frame="0"/>
              <w:bottom w:val="single" w:color="ffffff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16" w:lineRule="auto"/>
              <w:jc w:val="center"/>
            </w:pPr>
            <w:r>
              <w:rPr>
                <w:rFonts w:ascii="Times New Roman" w:hAnsi="Times New Roman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Number    of votes</w:t>
            </w:r>
          </w:p>
        </w:tc>
        <w:tc>
          <w:tcPr>
            <w:tcW w:type="dxa" w:w="9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  <w:tc>
          <w:tcPr>
            <w:tcW w:type="dxa" w:w="7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16" w:lineRule="auto"/>
              <w:jc w:val="center"/>
            </w:pPr>
            <w:r>
              <w:rPr>
                <w:rFonts w:ascii="Times New Roman" w:hAnsi="Times New Roman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Number of votes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  <w:tc>
          <w:tcPr>
            <w:tcW w:type="dxa" w:w="8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16" w:lineRule="auto"/>
              <w:jc w:val="center"/>
            </w:pPr>
            <w:r>
              <w:rPr>
                <w:rFonts w:ascii="Times New Roman" w:hAnsi="Times New Roman"/>
                <w:spacing w:val="-1"/>
                <w:sz w:val="16"/>
                <w:szCs w:val="16"/>
                <w:shd w:val="nil" w:color="auto" w:fill="auto"/>
                <w:rtl w:val="0"/>
                <w:lang w:val="en-US"/>
              </w:rPr>
              <w:t>Number of votes</w:t>
            </w:r>
          </w:p>
        </w:tc>
        <w:tc>
          <w:tcPr>
            <w:tcW w:type="dxa" w:w="6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line="216" w:lineRule="auto"/>
              <w:jc w:val="center"/>
              <w:outlineLvl w:val="0"/>
            </w:pP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90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11</w:t>
            </w:r>
            <w:r>
              <w:rPr>
                <w:rFonts w:ascii="Times New Roman" w:hAnsi="Times New Roman" w:hint="default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384</w:t>
            </w:r>
            <w:r>
              <w:rPr>
                <w:rFonts w:ascii="Times New Roman" w:hAnsi="Times New Roman" w:hint="default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957</w:t>
            </w:r>
          </w:p>
        </w:tc>
        <w:tc>
          <w:tcPr>
            <w:tcW w:type="dxa" w:w="92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99,994467</w:t>
            </w:r>
          </w:p>
        </w:tc>
        <w:tc>
          <w:tcPr>
            <w:tcW w:type="dxa" w:w="76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630</w:t>
            </w:r>
          </w:p>
        </w:tc>
        <w:tc>
          <w:tcPr>
            <w:tcW w:type="dxa" w:w="8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0,005533</w:t>
            </w:r>
          </w:p>
        </w:tc>
        <w:tc>
          <w:tcPr>
            <w:tcW w:type="dxa" w:w="9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7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0,00</w:t>
            </w:r>
          </w:p>
        </w:tc>
        <w:tc>
          <w:tcPr>
            <w:tcW w:type="dxa" w:w="182"/>
            <w:tcBorders>
              <w:top w:val="single" w:color="ffffff" w:sz="8" w:space="0" w:shadow="0" w:frame="0"/>
              <w:left w:val="single" w:color="000000" w:sz="8" w:space="0" w:shadow="0" w:frame="0"/>
              <w:bottom w:val="single" w:color="ffffff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11,384,957</w:t>
            </w:r>
          </w:p>
        </w:tc>
        <w:tc>
          <w:tcPr>
            <w:tcW w:type="dxa" w:w="92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99.994467</w:t>
            </w:r>
          </w:p>
        </w:tc>
        <w:tc>
          <w:tcPr>
            <w:tcW w:type="dxa" w:w="7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630</w:t>
            </w:r>
          </w:p>
        </w:tc>
        <w:tc>
          <w:tcPr>
            <w:tcW w:type="dxa" w:w="8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0,005533</w:t>
            </w:r>
          </w:p>
        </w:tc>
        <w:tc>
          <w:tcPr>
            <w:tcW w:type="dxa" w:w="8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68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outlineLvl w:val="0"/>
            </w:pPr>
            <w:r>
              <w:rPr>
                <w:rFonts w:ascii="Times New Roman" w:hAnsi="Times New Roman"/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>0.00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ind w:left="324" w:hanging="324"/>
        <w:rPr>
          <w:rFonts w:ascii="Times New Roman" w:cs="Times New Roman" w:hAnsi="Times New Roman" w:eastAsia="Times New Roman"/>
          <w:i w:val="1"/>
          <w:iCs w:val="1"/>
          <w:spacing w:val="0"/>
          <w:sz w:val="2"/>
          <w:szCs w:val="2"/>
          <w:lang w:val="en-US"/>
        </w:rPr>
      </w:pPr>
    </w:p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ind w:left="216" w:hanging="216"/>
        <w:rPr>
          <w:rFonts w:ascii="Times New Roman" w:cs="Times New Roman" w:hAnsi="Times New Roman" w:eastAsia="Times New Roman"/>
          <w:i w:val="1"/>
          <w:iCs w:val="1"/>
          <w:spacing w:val="0"/>
          <w:lang w:val="en-US"/>
        </w:rPr>
      </w:pPr>
    </w:p>
    <w:tbl>
      <w:tblPr>
        <w:tblW w:w="10213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55"/>
        <w:gridCol w:w="5058"/>
      </w:tblGrid>
      <w:tr>
        <w:tblPrEx>
          <w:shd w:val="clear" w:color="auto" w:fill="ced7e7"/>
        </w:tblPrEx>
        <w:trPr>
          <w:trHeight w:val="9673" w:hRule="atLeast"/>
        </w:trPr>
        <w:tc>
          <w:tcPr>
            <w:tcW w:type="dxa" w:w="5155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line="228" w:lineRule="auto"/>
              <w:jc w:val="both"/>
              <w:rPr>
                <w:rFonts w:ascii="Times New Roman" w:cs="Times New Roman" w:hAnsi="Times New Roman" w:eastAsia="Times New Roman"/>
                <w:sz w:val="21"/>
                <w:szCs w:val="21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Число голосов по данному вопросу повестки дня общего собрания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1"/>
                <w:szCs w:val="21"/>
                <w:shd w:val="nil" w:color="auto" w:fill="auto"/>
                <w:rtl w:val="0"/>
                <w:lang w:val="ru-RU"/>
              </w:rPr>
              <w:t>которые не подсчитывались в  связи с  признанием бюллетеней недействительными или по иным основаниям</w:t>
            </w:r>
            <w:r>
              <w:rPr>
                <w:rFonts w:ascii="Times New Roman" w:hAnsi="Times New Roman"/>
                <w:sz w:val="21"/>
                <w:szCs w:val="21"/>
                <w:shd w:val="nil" w:color="auto" w:fill="auto"/>
                <w:rtl w:val="0"/>
                <w:lang w:val="ru-RU"/>
              </w:rPr>
              <w:t>: 0.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Решение принято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pacing w:val="-2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pacing w:val="-2"/>
                <w:sz w:val="21"/>
                <w:szCs w:val="21"/>
                <w:shd w:val="nil" w:color="auto" w:fill="auto"/>
                <w:rtl w:val="0"/>
                <w:lang w:val="ru-RU"/>
              </w:rPr>
              <w:t>Формулировка решения</w:t>
            </w:r>
            <w:r>
              <w:rPr>
                <w:rFonts w:ascii="Times New Roman" w:hAnsi="Times New Roman"/>
                <w:spacing w:val="-2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-2"/>
                <w:sz w:val="21"/>
                <w:szCs w:val="21"/>
                <w:shd w:val="nil" w:color="auto" w:fill="auto"/>
                <w:rtl w:val="0"/>
                <w:lang w:val="ru-RU"/>
              </w:rPr>
              <w:t>принятого общим собранием по данному вопросу повестки дня общего собрания</w:t>
            </w:r>
            <w:r>
              <w:rPr>
                <w:rFonts w:ascii="Times New Roman" w:hAnsi="Times New Roman"/>
                <w:spacing w:val="-2"/>
                <w:sz w:val="21"/>
                <w:szCs w:val="21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spacing w:before="120" w:after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Одобрить сделку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 совершении которой имеется заинтересованность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– внесение вклада в имущество дочернего общества с заключением договора о внесении такого вклада на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следующих условиях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Default"/>
              <w:bidi w:val="0"/>
              <w:spacing w:before="60"/>
              <w:ind w:left="0" w:right="0" w:firstLine="426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Стороны и выгодоприобретатели по сделке</w:t>
            </w: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: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 ПАО «РОСИНТЕР РЕСТОРАНТС ХОЛДИНГ»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Участник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Общество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ООО «РОСИНТЕР РЕСТОРАНТС»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7737115648)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Дочернее общество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выгодоприобретателей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иных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чем стороны сделки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не имеется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Default"/>
              <w:bidi w:val="0"/>
              <w:spacing w:before="60"/>
              <w:ind w:left="0" w:right="0" w:firstLine="426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Предмет и иные существенные условия сделки</w:t>
            </w: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Общество вносит вклад в имущество Дочернего общества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Default"/>
              <w:bidi w:val="0"/>
              <w:spacing w:before="60"/>
              <w:ind w:left="0" w:right="0" w:firstLine="426"/>
              <w:jc w:val="both"/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размер вклада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: 553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456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935 (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Пятьсот пятьдесят три миллиона четыреста пятьдесят шесть тысяч девятьсот тридцать пять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рублей 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72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 копейки</w:t>
            </w:r>
            <w:r>
              <w:rPr>
                <w:b w:val="1"/>
                <w:bCs w:val="1"/>
                <w:spacing w:val="-3"/>
                <w:sz w:val="21"/>
                <w:szCs w:val="21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Default"/>
              <w:bidi w:val="0"/>
              <w:spacing w:before="60"/>
              <w:ind w:left="0" w:right="0" w:firstLine="426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порядок и сроки внесения вклада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вклад вносится в срок до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31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2023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года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включительно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посредством передачи в собственность Дочернего общества принадлежащих Участнику обыкновенных акций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ORANGE RESTAURANTS BRANDS LIMITED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ОРАНЖ РЕСТОРАНТС БРЭНДС ЛИМИТЕД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юридического лица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учрежденного по законодательству Республики Кипр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рег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 №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HE 207189,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в количестве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148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сто сорок восемь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штук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номинальной стоимостью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1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один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евро за штуку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что составляет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13,4545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%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уставного капитала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ORANGE RESTAURANTS BRANDS LIMITED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ОРАНЖ РЕСТОРАНТС БРЭНДС ЛИМИТЕД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);</w:t>
            </w:r>
          </w:p>
          <w:p>
            <w:pPr>
              <w:pStyle w:val="Default"/>
              <w:bidi w:val="0"/>
              <w:spacing w:before="60"/>
              <w:ind w:left="0" w:right="0" w:firstLine="426"/>
              <w:jc w:val="both"/>
              <w:rPr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вклад не изменяет размер и номинальную стоимость долей участников Дочернего общества в уставном капитале Дочернего общества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505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line="228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Number of votes on this agenda item of the general meeting that were not counted due to invalidation of the ballots or on other grounds was 0.</w:t>
            </w:r>
          </w:p>
          <w:p>
            <w:pPr>
              <w:pStyle w:val="Normal.0"/>
              <w:spacing w:line="228" w:lineRule="auto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Resolution was passed.</w:t>
            </w:r>
          </w:p>
          <w:p>
            <w:pPr>
              <w:pStyle w:val="Normal.0"/>
              <w:bidi w:val="0"/>
              <w:spacing w:before="6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The wording of the resolution passed by the general meeting on this agenda item of the general meeting:</w:t>
            </w:r>
          </w:p>
          <w:p>
            <w:pPr>
              <w:pStyle w:val="Normal.0"/>
              <w:bidi w:val="0"/>
              <w:spacing w:before="120" w:line="228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1.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To approve the related-party transaction,  namely, making a contribution to the assets of a subsidiary with conclusion of an agreement on making such contribution on the following terms and conditions:</w:t>
            </w:r>
          </w:p>
          <w:p>
            <w:pPr>
              <w:pStyle w:val="Default"/>
              <w:bidi w:val="0"/>
              <w:spacing w:before="60"/>
              <w:ind w:left="0" w:right="0" w:firstLine="425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Parties and beneficiaries to the transaction: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PJSC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ROSINTER RESTAURANTS HOLDING (the Participant, the Company), ROSINTER RESTAURANTS LLC (TIN 7737115648) (the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“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Subsidiary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”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), there are no beneficiaries (other than the parties to the transaction).</w:t>
            </w:r>
          </w:p>
          <w:p>
            <w:pPr>
              <w:pStyle w:val="Default"/>
              <w:bidi w:val="0"/>
              <w:spacing w:before="60"/>
              <w:ind w:left="0" w:right="0" w:firstLine="425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Subject matter and other material terms of the transaction: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the Company shall make a contribution  to the assets of the Subsidiary:</w:t>
            </w:r>
          </w:p>
          <w:p>
            <w:pPr>
              <w:pStyle w:val="Default"/>
              <w:bidi w:val="0"/>
              <w:spacing w:before="60"/>
              <w:ind w:left="0" w:right="0" w:firstLine="425"/>
              <w:jc w:val="both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- amount of the contribution: 553,456,935 (Five hundred fifty-three million four hundred fifty-six thousand nine hundred thirty-five) rubles 72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kopecks;</w:t>
            </w:r>
          </w:p>
          <w:p>
            <w:pPr>
              <w:pStyle w:val="Default"/>
              <w:bidi w:val="0"/>
              <w:spacing w:before="60"/>
              <w:ind w:left="0" w:right="0" w:firstLine="425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- procedure and terms of contribution: the contribution shall be made until December 31, 2023 (inclusive) by transferring to the ownership of the Subsidiary the ordinary shares of ORANGE RESTAURANTS BRANDS LIMITED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ОРАНЖ РЕСТОРАНТС БРЭНДС ЛИМИТЕД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), a legal entity incorporated under the laws of the Republic of Cyprus, reg. No. HE 207189, owned by the Participant, in the amount of 148 (one hundred and forty-eight) shares, with a nominal value of 1 (one) euro per share, which constitutes 13.4545% of the share capital of ORANGE RESTAURANTS  BRANDS LIMITED 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ОРАНЖ РЕСТОРАНТС БРЭНДС ЛИМИТЕД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);</w:t>
            </w:r>
          </w:p>
          <w:p>
            <w:pPr>
              <w:pStyle w:val="Default"/>
              <w:bidi w:val="0"/>
              <w:spacing w:before="60"/>
              <w:ind w:left="0" w:right="0" w:firstLine="425"/>
              <w:jc w:val="both"/>
              <w:rPr>
                <w:rtl w:val="0"/>
              </w:rPr>
            </w:pP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en-US"/>
              </w:rPr>
              <w:t>- the contribution shall not change the size and nominal value of shares of the Subsidiary's participants in the authorized capital of the Subsidiary.</w:t>
            </w:r>
          </w:p>
        </w:tc>
      </w:tr>
      <w:tr>
        <w:tblPrEx>
          <w:shd w:val="clear" w:color="auto" w:fill="ced7e7"/>
        </w:tblPrEx>
        <w:trPr>
          <w:trHeight w:val="1161" w:hRule="atLeast"/>
        </w:trPr>
        <w:tc>
          <w:tcPr>
            <w:tcW w:type="dxa" w:w="515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16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</w:rPr>
            </w:pP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 xml:space="preserve">* 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ru-RU"/>
              </w:rPr>
              <w:t xml:space="preserve">Положение Центрального Банка Российской Федерации от 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 xml:space="preserve">16.11.2018 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г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 xml:space="preserve">№ 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660-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ru-RU"/>
              </w:rPr>
              <w:t xml:space="preserve">П «Об общих собраниях акционеров» 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ru-RU"/>
              </w:rPr>
              <w:t xml:space="preserve">далее 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ru-RU"/>
              </w:rPr>
              <w:t>«Положение»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Normal.0"/>
              <w:bidi w:val="0"/>
              <w:spacing w:before="60" w:line="21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**</w:t>
            </w:r>
            <w:r>
              <w:rPr>
                <w:rFonts w:ascii="Times New Roman" w:hAnsi="Times New Roman" w:hint="default"/>
                <w:i w:val="1"/>
                <w:iCs w:val="1"/>
                <w:sz w:val="16"/>
                <w:szCs w:val="16"/>
                <w:shd w:val="nil" w:color="auto" w:fill="auto"/>
                <w:rtl w:val="0"/>
                <w:lang w:val="ru-RU"/>
              </w:rPr>
              <w:t>Выделенная курсивом информация уточняется в связи с допущенной по техническим причинам опечаткой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16"/>
                <w:szCs w:val="16"/>
                <w:shd w:val="nil" w:color="auto" w:fill="auto"/>
                <w:rtl w:val="0"/>
                <w:lang w:val="ru-RU"/>
              </w:rPr>
              <w:t>содержащейся в ранее размещенном на сайте Общества отчете об итогах голосования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505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29" w:lineRule="auto"/>
              <w:jc w:val="both"/>
              <w:rPr>
                <w:rFonts w:ascii="Times New Roman" w:cs="Times New Roman" w:hAnsi="Times New Roman" w:eastAsia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</w:rPr>
            </w:pP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 xml:space="preserve">* The Bank of Russia Regulation No. 660-P dated November 16, 2018 on General Meetings of Shareholders (hereinafter referred to as the 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Regulation</w:t>
            </w:r>
            <w:r>
              <w:rPr>
                <w:rFonts w:ascii="Times New Roman" w:hAnsi="Times New Roman" w:hint="default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”</w:t>
            </w:r>
            <w:r>
              <w:rPr>
                <w:rFonts w:ascii="Times New Roman" w:hAnsi="Times New Roman"/>
                <w:i w:val="1"/>
                <w:iCs w:val="1"/>
                <w:spacing w:val="-1"/>
                <w:sz w:val="17"/>
                <w:szCs w:val="17"/>
                <w:shd w:val="nil" w:color="auto" w:fill="auto"/>
                <w:rtl w:val="0"/>
                <w:lang w:val="en-US"/>
              </w:rPr>
              <w:t>)</w:t>
            </w:r>
          </w:p>
          <w:p>
            <w:pPr>
              <w:pStyle w:val="Normal.0"/>
              <w:bidi w:val="0"/>
              <w:spacing w:before="60" w:line="229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** The information in italics is clarified due to  a technical misprint in the voting results report previously posted on the Company</w:t>
            </w:r>
            <w:r>
              <w:rPr>
                <w:rFonts w:ascii="Times New Roman" w:hAnsi="Times New Roman" w:hint="default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s website</w:t>
            </w:r>
          </w:p>
        </w:tc>
      </w:tr>
    </w:tbl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ind w:left="324" w:hanging="324"/>
        <w:rPr>
          <w:rFonts w:ascii="Times New Roman" w:cs="Times New Roman" w:hAnsi="Times New Roman" w:eastAsia="Times New Roman"/>
          <w:i w:val="1"/>
          <w:iCs w:val="1"/>
          <w:spacing w:val="0"/>
          <w:lang w:val="en-US"/>
        </w:rPr>
      </w:pPr>
    </w:p>
    <w:p>
      <w:pPr>
        <w:pStyle w:val="Основной текст A"/>
        <w:widowControl w:val="0"/>
        <w:suppressAutoHyphens w:val="1"/>
        <w:ind w:left="216" w:hanging="216"/>
        <w:jc w:val="lef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Основной текст A"/>
        <w:widowControl w:val="0"/>
        <w:suppressAutoHyphens w:val="1"/>
        <w:ind w:left="108" w:hanging="108"/>
        <w:jc w:val="left"/>
        <w:rPr>
          <w:i w:val="1"/>
          <w:iCs w:val="1"/>
          <w:spacing w:val="0"/>
          <w:sz w:val="2"/>
          <w:szCs w:val="2"/>
          <w:lang w:val="en-US"/>
        </w:rPr>
      </w:pPr>
    </w:p>
    <w:tbl>
      <w:tblPr>
        <w:tblW w:w="1023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67"/>
        <w:gridCol w:w="5068"/>
      </w:tblGrid>
      <w:tr>
        <w:tblPrEx>
          <w:shd w:val="clear" w:color="auto" w:fill="ced7e7"/>
        </w:tblPrEx>
        <w:trPr>
          <w:trHeight w:val="5518" w:hRule="atLeast"/>
        </w:trPr>
        <w:tc>
          <w:tcPr>
            <w:tcW w:type="dxa" w:w="51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ind w:firstLine="426"/>
              <w:jc w:val="both"/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Цена сделки</w:t>
            </w:r>
            <w:r>
              <w:rPr>
                <w:b w:val="1"/>
                <w:bCs w:val="1"/>
                <w:i w:val="1"/>
                <w:i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553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456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 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935 (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Пятьсот пятьдесят три миллиона четыреста пятьдесят шесть тысяч девять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сот тридцать пять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рублей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72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 копейки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что состав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ляет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12,17 %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от балансовой стоимости активов Общества по данным его бухгалтерской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финан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совой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отчетности на последнюю отчетную дату</w:t>
            </w:r>
            <w:r>
              <w:rPr>
                <w:b w:val="1"/>
                <w:bCs w:val="1"/>
                <w:spacing w:val="-4"/>
                <w:sz w:val="21"/>
                <w:szCs w:val="21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Default"/>
              <w:bidi w:val="0"/>
              <w:ind w:left="0" w:right="0" w:firstLine="426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Заинтересованные в совершении сделки лица и основания их признания таковыми</w:t>
            </w: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ru-RU"/>
              </w:rPr>
              <w:t>: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 президент и член Совета директоров Общества Костеева Маргарита Валерьевна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лицо одновременно занимает должности в органах управления юридического лица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являющегося стороной сделки 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>является Генеральным директором ООО «РОСИНТЕР РЕСТОРАНТС»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ru-RU"/>
              </w:rPr>
              <w:t xml:space="preserve">). </w:t>
            </w:r>
          </w:p>
          <w:p>
            <w:pPr>
              <w:pStyle w:val="Normal.0"/>
              <w:bidi w:val="0"/>
              <w:spacing w:before="120" w:after="120" w:line="228" w:lineRule="auto"/>
              <w:ind w:left="0" w:right="0" w:firstLine="426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Подтвердить обязанность Президента Общества Костеевой Маргариты Валерьевны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или иного уполномоченного ею лица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подписать от имени Общества любые документы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необходимые для внесения вышеуказанного вклада и передачи вышеуказанных акций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ORANGE RESTAURANTS BRANDS LIMITED 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ОРАНЖ РЕСТОРАНТС БРЭНДС ЛИМИТЕД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).</w:t>
            </w:r>
          </w:p>
        </w:tc>
        <w:tc>
          <w:tcPr>
            <w:tcW w:type="dxa" w:w="50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ind w:firstLine="425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Transaction Price: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553,456,935 (Five hundred fifty-three million four hundred fifty-six thousand nine hundred thirty-five) rubles 72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 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>kopecks, which is 12.17% of the book value of the Company's assets according to its accounting (financial) statements as of the last reporting date.</w:t>
            </w:r>
          </w:p>
          <w:p>
            <w:pPr>
              <w:pStyle w:val="Default"/>
              <w:bidi w:val="0"/>
              <w:ind w:left="0" w:right="0" w:firstLine="425"/>
              <w:jc w:val="both"/>
              <w:rPr>
                <w:b w:val="1"/>
                <w:bCs w:val="1"/>
                <w:sz w:val="21"/>
                <w:szCs w:val="21"/>
                <w:shd w:val="nil" w:color="auto" w:fill="auto"/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1"/>
                <w:szCs w:val="21"/>
                <w:shd w:val="nil" w:color="auto" w:fill="auto"/>
                <w:rtl w:val="0"/>
                <w:lang w:val="en-US"/>
              </w:rPr>
              <w:t>Persons interested in the transaction and the grounds for recognizing them as interested: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Margarita Kosteeva, the Company's President and member of the Board of Directors; the person simultaneously holds positions in the management bodies of the legal entity being a party to the transaction (the person is the General Director of ROSINTER RESTAURANTS LLC). </w:t>
            </w:r>
          </w:p>
          <w:p>
            <w:pPr>
              <w:pStyle w:val="Normal.0"/>
              <w:bidi w:val="0"/>
              <w:spacing w:before="120" w:after="120" w:line="228" w:lineRule="auto"/>
              <w:ind w:left="0" w:right="0" w:firstLine="426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To confirm the obligation of the Company's President Margarita Kosteeva (or other person authorized by her) to sign on behalf of the Company any documents required to make the above-mentioned contribution and transfer the above-mentioned shares of ORANGE RESTAURANTS BRANDS LIMITED 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ОРАНЖ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РЕСТОРАНТС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БРЭНДС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ЛИМИТЕД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).</w:t>
            </w:r>
          </w:p>
        </w:tc>
      </w:tr>
    </w:tbl>
    <w:p>
      <w:pPr>
        <w:pStyle w:val="Основной текст A"/>
        <w:widowControl w:val="0"/>
        <w:suppressAutoHyphens w:val="1"/>
        <w:ind w:left="216" w:hanging="216"/>
        <w:jc w:val="left"/>
        <w:rPr>
          <w:i w:val="1"/>
          <w:iCs w:val="1"/>
          <w:spacing w:val="0"/>
          <w:sz w:val="2"/>
          <w:szCs w:val="2"/>
          <w:lang w:val="en-US"/>
        </w:rPr>
      </w:pPr>
    </w:p>
    <w:p>
      <w:pPr>
        <w:pStyle w:val="Основной текст A"/>
        <w:widowControl w:val="0"/>
        <w:suppressAutoHyphens w:val="1"/>
        <w:ind w:left="108" w:hanging="108"/>
        <w:jc w:val="lef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Normal.0"/>
        <w:rPr>
          <w:sz w:val="20"/>
          <w:szCs w:val="20"/>
          <w:lang w:val="en-US"/>
        </w:rPr>
      </w:pPr>
    </w:p>
    <w:p>
      <w:pPr>
        <w:pStyle w:val="Основной текст A"/>
        <w:suppressAutoHyphens w:val="1"/>
        <w:spacing w:line="230" w:lineRule="exac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pacing w:val="0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spacing w:val="0"/>
          <w:sz w:val="22"/>
          <w:szCs w:val="22"/>
          <w:rtl w:val="0"/>
          <w:lang w:val="ru-RU"/>
        </w:rPr>
        <w:t>Председательствующий на общем собрании</w:t>
        <w:tab/>
        <w:tab/>
        <w:tab/>
        <w:tab/>
      </w:r>
      <w:r>
        <w:rPr>
          <w:rFonts w:ascii="Times New Roman" w:hAnsi="Times New Roman" w:hint="default"/>
          <w:b w:val="1"/>
          <w:bCs w:val="1"/>
          <w:spacing w:val="-6"/>
          <w:sz w:val="22"/>
          <w:szCs w:val="22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spacing w:val="-6"/>
          <w:sz w:val="22"/>
          <w:szCs w:val="22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pacing w:val="-6"/>
          <w:sz w:val="22"/>
          <w:szCs w:val="22"/>
          <w:rtl w:val="0"/>
          <w:lang w:val="ru-RU"/>
        </w:rPr>
        <w:t>Ордовский</w:t>
      </w:r>
      <w:r>
        <w:rPr>
          <w:rFonts w:ascii="Times New Roman" w:hAnsi="Times New Roman"/>
          <w:b w:val="1"/>
          <w:bCs w:val="1"/>
          <w:spacing w:val="-6"/>
          <w:sz w:val="22"/>
          <w:szCs w:val="2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pacing w:val="-6"/>
          <w:sz w:val="22"/>
          <w:szCs w:val="22"/>
          <w:rtl w:val="0"/>
          <w:lang w:val="ru-RU"/>
        </w:rPr>
        <w:t>Танаевский Бланко</w:t>
      </w:r>
    </w:p>
    <w:p>
      <w:pPr>
        <w:pStyle w:val="Основной текст A"/>
        <w:suppressAutoHyphens w:val="1"/>
        <w:spacing w:line="230" w:lineRule="exact"/>
        <w:rPr>
          <w:lang w:val="en-US"/>
        </w:rPr>
      </w:pPr>
      <w:r>
        <w:rPr>
          <w:i w:val="1"/>
          <w:iCs w:val="1"/>
          <w:spacing w:val="0"/>
          <w:sz w:val="22"/>
          <w:szCs w:val="22"/>
          <w:rtl w:val="0"/>
          <w:lang w:val="en-US"/>
        </w:rPr>
        <w:t>Chairman of the general meeting</w:t>
        <w:tab/>
        <w:tab/>
        <w:tab/>
        <w:tab/>
        <w:tab/>
        <w:tab/>
        <w:t>R. Ordovsky-T</w:t>
      </w:r>
      <w:r>
        <w:rPr>
          <w:i w:val="1"/>
          <w:iCs w:val="1"/>
          <w:rtl w:val="0"/>
          <w:lang w:val="en-US"/>
        </w:rPr>
        <w:t>anaevsky Blanco</w:t>
      </w:r>
    </w:p>
    <w:p>
      <w:pPr>
        <w:pStyle w:val="Основной текст A"/>
        <w:suppressAutoHyphens w:val="1"/>
        <w:spacing w:line="230" w:lineRule="exac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Основной текст A"/>
        <w:suppressAutoHyphens w:val="1"/>
        <w:spacing w:line="230" w:lineRule="exac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Секретарь общего собрания</w:t>
        <w:tab/>
        <w:tab/>
        <w:tab/>
        <w:tab/>
        <w:tab/>
        <w:tab/>
        <w:tab/>
        <w:t>М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Надденная</w:t>
      </w:r>
    </w:p>
    <w:p>
      <w:pPr>
        <w:pStyle w:val="Основной текст A"/>
        <w:suppressAutoHyphens w:val="1"/>
        <w:spacing w:line="230" w:lineRule="exact"/>
        <w:rPr>
          <w:i w:val="1"/>
          <w:iCs w:val="1"/>
          <w:spacing w:val="0"/>
          <w:sz w:val="22"/>
          <w:szCs w:val="22"/>
          <w:lang w:val="en-US"/>
        </w:rPr>
      </w:pPr>
      <w:r>
        <w:rPr>
          <w:i w:val="1"/>
          <w:iCs w:val="1"/>
          <w:spacing w:val="0"/>
          <w:sz w:val="22"/>
          <w:szCs w:val="22"/>
          <w:rtl w:val="0"/>
          <w:lang w:val="en-US"/>
        </w:rPr>
        <w:t>The secretary of the general meeting</w:t>
        <w:tab/>
        <w:tab/>
        <w:tab/>
        <w:tab/>
        <w:tab/>
        <w:tab/>
        <w:t>M.A. Naddennaya</w:t>
      </w:r>
    </w:p>
    <w:p>
      <w:pPr>
        <w:pStyle w:val="Основной текст A"/>
        <w:suppressAutoHyphens w:val="1"/>
        <w:spacing w:line="230" w:lineRule="exac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Основной текст A"/>
        <w:suppressAutoHyphens w:val="1"/>
        <w:spacing w:line="230" w:lineRule="exac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0"/>
          <w:sz w:val="22"/>
          <w:szCs w:val="22"/>
          <w:lang w:val="en-US"/>
        </w:rPr>
        <w:br w:type="page"/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hanging="5953"/>
        <w:jc w:val="left"/>
        <w:rPr>
          <w:i w:val="1"/>
          <w:iCs w:val="1"/>
          <w:spacing w:val="0"/>
          <w:sz w:val="22"/>
          <w:szCs w:val="22"/>
          <w:lang w:val="en-US"/>
        </w:rPr>
      </w:pPr>
      <w:r>
        <w:rPr>
          <w:i w:val="1"/>
          <w:iCs w:val="1"/>
          <w:spacing w:val="0"/>
          <w:sz w:val="22"/>
          <w:szCs w:val="22"/>
          <w:lang w:val="en-US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-78762</wp:posOffset>
            </wp:positionV>
            <wp:extent cx="1904683" cy="145798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683" cy="14579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i w:val="1"/>
          <w:iCs w:val="1"/>
          <w:spacing w:val="0"/>
          <w:sz w:val="22"/>
          <w:szCs w:val="22"/>
          <w:lang w:val="en-US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b w:val="1"/>
          <w:bCs w:val="1"/>
          <w:outline w:val="0"/>
          <w:color w:val="ff9900"/>
          <w:sz w:val="22"/>
          <w:szCs w:val="22"/>
          <w:u w:color="ff9900"/>
          <w14:textFill>
            <w14:solidFill>
              <w14:srgbClr w14:val="FF99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ff9900"/>
          <w:sz w:val="22"/>
          <w:szCs w:val="22"/>
          <w:u w:color="ff9900"/>
          <w:rtl w:val="0"/>
          <w:lang w:val="ru-RU"/>
          <w14:textFill>
            <w14:solidFill>
              <w14:srgbClr w14:val="FF9900"/>
            </w14:solidFill>
          </w14:textFill>
        </w:rPr>
        <w:t>ПАО «РОСИНТЕР РЕСТОРАНТС ХОЛДИНГ»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111024, 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Россия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Москва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,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ул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Душинская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д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. 7, 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стр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. 1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  <w:r>
        <w:rPr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  <w:drawing xmlns:a="http://schemas.openxmlformats.org/drawingml/2006/main">
          <wp:anchor distT="18096" distB="18096" distL="18096" distR="18096" simplePos="0" relativeHeight="251659264" behindDoc="0" locked="0" layoutInCell="1" allowOverlap="1">
            <wp:simplePos x="0" y="0"/>
            <wp:positionH relativeFrom="column">
              <wp:posOffset>3764279</wp:posOffset>
            </wp:positionH>
            <wp:positionV relativeFrom="line">
              <wp:posOffset>7620</wp:posOffset>
            </wp:positionV>
            <wp:extent cx="123825" cy="268605"/>
            <wp:effectExtent l="0" t="0" r="0" b="0"/>
            <wp:wrapThrough wrapText="bothSides" distL="18096" distR="18096">
              <wp:wrapPolygon edited="1">
                <wp:start x="7200" y="584"/>
                <wp:lineTo x="9078" y="876"/>
                <wp:lineTo x="9078" y="2919"/>
                <wp:lineTo x="9078" y="4524"/>
                <wp:lineTo x="12209" y="6714"/>
                <wp:lineTo x="15965" y="6714"/>
                <wp:lineTo x="17530" y="7443"/>
                <wp:lineTo x="16904" y="8319"/>
                <wp:lineTo x="11583" y="8173"/>
                <wp:lineTo x="6261" y="4670"/>
                <wp:lineTo x="5322" y="1605"/>
                <wp:lineTo x="5322" y="14011"/>
                <wp:lineTo x="5948" y="14011"/>
                <wp:lineTo x="15652" y="14449"/>
                <wp:lineTo x="5948" y="14303"/>
                <wp:lineTo x="5948" y="17659"/>
                <wp:lineTo x="15652" y="17659"/>
                <wp:lineTo x="15652" y="14449"/>
                <wp:lineTo x="5948" y="14011"/>
                <wp:lineTo x="16278" y="14011"/>
                <wp:lineTo x="16278" y="17659"/>
                <wp:lineTo x="19722" y="17951"/>
                <wp:lineTo x="19722" y="20724"/>
                <wp:lineTo x="1878" y="20724"/>
                <wp:lineTo x="1878" y="17951"/>
                <wp:lineTo x="5322" y="17659"/>
                <wp:lineTo x="5322" y="14011"/>
                <wp:lineTo x="5322" y="1605"/>
                <wp:lineTo x="7200" y="584"/>
              </wp:wrapPolygon>
            </wp:wrapThrough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686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      (7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–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495) 788 4488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 xml:space="preserve">      (7</w:t>
      </w:r>
      <w:r>
        <w:rPr>
          <w:rFonts w:ascii="Arial" w:hAnsi="Arial" w:hint="default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–</w:t>
      </w:r>
      <w:r>
        <w:rPr>
          <w:rFonts w:ascii="Arial" w:hAnsi="Arial"/>
          <w:outline w:val="0"/>
          <w:color w:val="727272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495) 956 4704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954" w:firstLine="0"/>
        <w:jc w:val="left"/>
        <w:rPr>
          <w:rFonts w:ascii="Arial" w:cs="Arial" w:hAnsi="Arial" w:eastAsia="Arial"/>
          <w:outline w:val="0"/>
          <w:color w:val="727272"/>
          <w:spacing w:val="20"/>
          <w:sz w:val="22"/>
          <w:szCs w:val="22"/>
          <w:u w:color="727272"/>
          <w14:textFill>
            <w14:solidFill>
              <w14:srgbClr w14:val="727272"/>
            </w14:solidFill>
          </w14:textFill>
        </w:rPr>
      </w:pPr>
      <w:r>
        <w:rPr>
          <w:rFonts w:ascii="Arial" w:hAnsi="Arial"/>
          <w:outline w:val="0"/>
          <w:color w:val="727272"/>
          <w:spacing w:val="20"/>
          <w:sz w:val="22"/>
          <w:szCs w:val="22"/>
          <w:u w:color="727272"/>
          <w:rtl w:val="0"/>
          <w:lang w:val="en-US"/>
          <w14:textFill>
            <w14:solidFill>
              <w14:srgbClr w14:val="727272"/>
            </w14:solidFill>
          </w14:textFill>
        </w:rPr>
        <w:t>www</w:t>
      </w:r>
      <w:r>
        <w:rPr>
          <w:rFonts w:ascii="Arial" w:hAnsi="Arial"/>
          <w:outline w:val="0"/>
          <w:color w:val="727272"/>
          <w:spacing w:val="20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.</w:t>
      </w:r>
      <w:r>
        <w:rPr>
          <w:rFonts w:ascii="Arial" w:hAnsi="Arial"/>
          <w:outline w:val="0"/>
          <w:color w:val="727272"/>
          <w:spacing w:val="20"/>
          <w:sz w:val="22"/>
          <w:szCs w:val="22"/>
          <w:u w:color="727272"/>
          <w:rtl w:val="0"/>
          <w:lang w:val="en-US"/>
          <w14:textFill>
            <w14:solidFill>
              <w14:srgbClr w14:val="727272"/>
            </w14:solidFill>
          </w14:textFill>
        </w:rPr>
        <w:t>rosinter</w:t>
      </w:r>
      <w:r>
        <w:rPr>
          <w:rFonts w:ascii="Arial" w:hAnsi="Arial"/>
          <w:outline w:val="0"/>
          <w:color w:val="727272"/>
          <w:spacing w:val="20"/>
          <w:sz w:val="22"/>
          <w:szCs w:val="22"/>
          <w:u w:color="727272"/>
          <w:rtl w:val="0"/>
          <w:lang w:val="ru-RU"/>
          <w14:textFill>
            <w14:solidFill>
              <w14:srgbClr w14:val="727272"/>
            </w14:solidFill>
          </w14:textFill>
        </w:rPr>
        <w:t>.</w:t>
      </w:r>
      <w:r>
        <w:rPr>
          <w:rFonts w:ascii="Arial" w:hAnsi="Arial"/>
          <w:outline w:val="0"/>
          <w:color w:val="727272"/>
          <w:spacing w:val="20"/>
          <w:sz w:val="22"/>
          <w:szCs w:val="22"/>
          <w:u w:color="727272"/>
          <w:rtl w:val="0"/>
          <w:lang w:val="en-US"/>
          <w14:textFill>
            <w14:solidFill>
              <w14:srgbClr w14:val="727272"/>
            </w14:solidFill>
          </w14:textFill>
        </w:rPr>
        <w:t>ru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jc w:val="left"/>
        <w:rPr>
          <w:outline w:val="0"/>
          <w:color w:val="808080"/>
          <w:sz w:val="22"/>
          <w:szCs w:val="22"/>
          <w:u w:color="808080"/>
          <w14:textFill>
            <w14:solidFill>
              <w14:srgbClr w14:val="808080"/>
            </w14:solidFill>
          </w14:textFill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Исх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№ б</w:t>
      </w:r>
      <w:r>
        <w:rPr>
          <w:sz w:val="22"/>
          <w:szCs w:val="22"/>
          <w:rtl w:val="0"/>
          <w:lang w:val="ru-RU"/>
        </w:rPr>
        <w:t>/</w:t>
      </w:r>
      <w:r>
        <w:rPr>
          <w:sz w:val="22"/>
          <w:szCs w:val="22"/>
          <w:rtl w:val="0"/>
          <w:lang w:val="ru-RU"/>
        </w:rPr>
        <w:t>н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ru-RU"/>
        </w:rPr>
        <w:t>от «</w:t>
      </w:r>
      <w:r>
        <w:rPr>
          <w:sz w:val="22"/>
          <w:szCs w:val="22"/>
          <w:rtl w:val="0"/>
          <w:lang w:val="ru-RU"/>
        </w:rPr>
        <w:t>27</w:t>
      </w:r>
      <w:r>
        <w:rPr>
          <w:sz w:val="22"/>
          <w:szCs w:val="22"/>
          <w:rtl w:val="0"/>
          <w:lang w:val="ru-RU"/>
        </w:rPr>
        <w:t xml:space="preserve">» марта </w:t>
      </w:r>
      <w:r>
        <w:rPr>
          <w:sz w:val="22"/>
          <w:szCs w:val="22"/>
          <w:rtl w:val="0"/>
          <w:lang w:val="ru-RU"/>
        </w:rPr>
        <w:t xml:space="preserve">2024 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jc w:val="left"/>
        <w:rPr>
          <w:sz w:val="22"/>
          <w:szCs w:val="22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953"/>
        <w:jc w:val="lef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Акционерам ПАО «РОСИНТЕР 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5953"/>
        <w:jc w:val="lef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РЕСТОРАНТС ХОЛДИНГ»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0"/>
        <w:jc w:val="center"/>
        <w:rPr>
          <w:b w:val="1"/>
          <w:bCs w:val="1"/>
          <w:sz w:val="22"/>
          <w:szCs w:val="22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88" w:lineRule="auto"/>
        <w:ind w:firstLine="652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 соответствии с предписанием Банка России № </w:t>
      </w:r>
      <w:r>
        <w:rPr>
          <w:sz w:val="24"/>
          <w:szCs w:val="24"/>
          <w:rtl w:val="0"/>
          <w:lang w:val="ru-RU"/>
        </w:rPr>
        <w:t xml:space="preserve">28-4-1/1483 </w:t>
      </w:r>
      <w:r>
        <w:rPr>
          <w:sz w:val="24"/>
          <w:szCs w:val="24"/>
          <w:rtl w:val="0"/>
          <w:lang w:val="ru-RU"/>
        </w:rPr>
        <w:t xml:space="preserve">от </w:t>
      </w:r>
      <w:r>
        <w:rPr>
          <w:sz w:val="24"/>
          <w:szCs w:val="24"/>
          <w:rtl w:val="0"/>
          <w:lang w:val="ru-RU"/>
        </w:rPr>
        <w:t xml:space="preserve">13.03.2024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ПАО «РОСИНТЕР РЕСТОРАНТС ХОЛДИНГ»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ОГРН </w:t>
      </w:r>
      <w:r>
        <w:rPr>
          <w:sz w:val="24"/>
          <w:szCs w:val="24"/>
          <w:rtl w:val="0"/>
          <w:lang w:val="ru-RU"/>
        </w:rPr>
        <w:t xml:space="preserve">1047796362305, </w:t>
      </w:r>
      <w:r>
        <w:rPr>
          <w:sz w:val="24"/>
          <w:szCs w:val="24"/>
          <w:rtl w:val="0"/>
          <w:lang w:val="ru-RU"/>
        </w:rPr>
        <w:t xml:space="preserve">направляет отчет об итогах голосования на внеочередном общем собрании акционеров эмитента </w:t>
      </w:r>
      <w:r>
        <w:rPr>
          <w:sz w:val="24"/>
          <w:szCs w:val="24"/>
          <w:rtl w:val="0"/>
          <w:lang w:val="ru-RU"/>
        </w:rPr>
        <w:t xml:space="preserve">31.01.2024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 (</w:t>
      </w:r>
      <w:r>
        <w:rPr>
          <w:sz w:val="24"/>
          <w:szCs w:val="24"/>
          <w:rtl w:val="0"/>
          <w:lang w:val="ru-RU"/>
        </w:rPr>
        <w:t>с уточнением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88" w:lineRule="auto"/>
        <w:ind w:firstLine="0"/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88" w:lineRule="auto"/>
        <w:ind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Приложение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по тексту на </w:t>
      </w:r>
      <w:r>
        <w:rPr>
          <w:sz w:val="24"/>
          <w:szCs w:val="24"/>
          <w:rtl w:val="0"/>
          <w:lang w:val="ru-RU"/>
        </w:rPr>
        <w:t xml:space="preserve">___ </w:t>
      </w:r>
      <w:r>
        <w:rPr>
          <w:sz w:val="24"/>
          <w:szCs w:val="24"/>
          <w:rtl w:val="0"/>
          <w:lang w:val="ru-RU"/>
        </w:rPr>
        <w:t>листах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sz w:val="22"/>
          <w:szCs w:val="22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sz w:val="22"/>
          <w:szCs w:val="22"/>
        </w:rPr>
      </w:pP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Президент  </w:t>
      </w:r>
    </w:p>
    <w:p>
      <w:pPr>
        <w:pStyle w:val="Body Text Indent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0"/>
        <w:rPr>
          <w:i w:val="1"/>
          <w:iCs w:val="1"/>
          <w:spacing w:val="0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ru-RU"/>
        </w:rPr>
        <w:t>ПАО «РОСИНТЕР РЕСТОРАНТС ХОЛДИНГ»</w:t>
        <w:tab/>
        <w:tab/>
        <w:tab/>
        <w:t>п</w:t>
      </w:r>
      <w:r>
        <w:rPr>
          <w:b w:val="1"/>
          <w:bCs w:val="1"/>
          <w:sz w:val="22"/>
          <w:szCs w:val="22"/>
          <w:rtl w:val="0"/>
          <w:lang w:val="ru-RU"/>
        </w:rPr>
        <w:t>/</w:t>
      </w:r>
      <w:r>
        <w:rPr>
          <w:b w:val="1"/>
          <w:bCs w:val="1"/>
          <w:sz w:val="22"/>
          <w:szCs w:val="22"/>
          <w:rtl w:val="0"/>
          <w:lang w:val="ru-RU"/>
        </w:rPr>
        <w:t>п</w:t>
        <w:tab/>
        <w:tab/>
        <w:tab/>
        <w:t>М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>В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Костеева</w:t>
      </w:r>
    </w:p>
    <w:p>
      <w:pPr>
        <w:pStyle w:val="Основной текст A"/>
        <w:suppressAutoHyphens w:val="1"/>
        <w:spacing w:line="230" w:lineRule="exact"/>
      </w:pPr>
      <w:r>
        <w:rPr>
          <w:i w:val="1"/>
          <w:iCs w:val="1"/>
          <w:spacing w:val="0"/>
          <w:sz w:val="22"/>
          <w:szCs w:val="22"/>
          <w:lang w:val="en-US"/>
        </w:rPr>
      </w:r>
    </w:p>
    <w:sectPr>
      <w:headerReference w:type="default" r:id="rId6"/>
      <w:footerReference w:type="default" r:id="rId7"/>
      <w:pgSz w:w="11900" w:h="16840" w:orient="portrait"/>
      <w:pgMar w:top="454" w:right="709" w:bottom="454" w:left="8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"/>
      <w:szCs w:val="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36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"/>
      <w:szCs w:val="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